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高校思想政治工作队伍培训和研修中心（福建师范大学）</w:t>
      </w:r>
      <w:r>
        <w:rPr>
          <w:rFonts w:hint="eastAsia" w:asciiTheme="minorEastAsia" w:hAnsi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rPr>
        <w:t>微信公众号升级及管理平台开发项目比选文件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根据工作需要，福建师范大学</w:t>
      </w:r>
      <w:r>
        <w:rPr>
          <w:rFonts w:hint="eastAsia" w:asciiTheme="minorEastAsia" w:hAnsiTheme="minorEastAsia"/>
          <w:sz w:val="24"/>
          <w:szCs w:val="24"/>
          <w:lang w:eastAsia="zh-CN"/>
        </w:rPr>
        <w:t>马克思主义</w:t>
      </w:r>
      <w:r>
        <w:rPr>
          <w:rFonts w:hint="eastAsia" w:asciiTheme="minorEastAsia" w:hAnsiTheme="minorEastAsia"/>
          <w:sz w:val="24"/>
          <w:szCs w:val="24"/>
        </w:rPr>
        <w:t>学院将通过比选方式选定一家供应商负责执行福建师范大学马克思主义学院公众号开发项目。现将有关事项公告如下：</w:t>
      </w:r>
    </w:p>
    <w:p>
      <w:pPr>
        <w:pStyle w:val="3"/>
      </w:pPr>
      <w:r>
        <w:rPr>
          <w:rFonts w:hint="eastAsia"/>
        </w:rPr>
        <w:t>一、项目名称</w:t>
      </w:r>
    </w:p>
    <w:p>
      <w:pPr>
        <w:spacing w:line="360" w:lineRule="auto"/>
        <w:rPr>
          <w:rFonts w:asciiTheme="minorEastAsia" w:hAnsiTheme="minorEastAsia"/>
          <w:sz w:val="24"/>
          <w:szCs w:val="24"/>
        </w:rPr>
      </w:pPr>
      <w:r>
        <w:rPr>
          <w:rFonts w:hint="eastAsia" w:asciiTheme="minorEastAsia" w:hAnsiTheme="minorEastAsia"/>
          <w:sz w:val="24"/>
          <w:szCs w:val="24"/>
        </w:rPr>
        <w:t>高校思想政治工作队伍培训和研修中心（福建师范大学）微信公众号升级及管理平台开发项目</w:t>
      </w:r>
    </w:p>
    <w:p>
      <w:pPr>
        <w:pStyle w:val="3"/>
      </w:pPr>
      <w:r>
        <w:rPr>
          <w:rFonts w:hint="eastAsia"/>
        </w:rPr>
        <w:t>二、采购内容</w:t>
      </w:r>
    </w:p>
    <w:tbl>
      <w:tblPr>
        <w:tblStyle w:val="7"/>
        <w:tblW w:w="8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13"/>
        <w:gridCol w:w="2744"/>
        <w:gridCol w:w="613"/>
        <w:gridCol w:w="2824"/>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jc w:val="center"/>
        </w:trPr>
        <w:tc>
          <w:tcPr>
            <w:tcW w:w="713" w:type="dxa"/>
            <w:shd w:val="clear" w:color="auto" w:fill="FFFFFF"/>
            <w:vAlign w:val="center"/>
          </w:tcPr>
          <w:p>
            <w:pPr>
              <w:wordWrap w:val="0"/>
              <w:spacing w:line="360" w:lineRule="auto"/>
              <w:jc w:val="center"/>
              <w:rPr>
                <w:rFonts w:ascii="宋体" w:hAnsi="宋体"/>
                <w:b/>
              </w:rPr>
            </w:pPr>
            <w:r>
              <w:rPr>
                <w:rFonts w:hint="eastAsia" w:ascii="宋体" w:hAnsi="宋体"/>
                <w:b/>
              </w:rPr>
              <w:t>合同包</w:t>
            </w:r>
          </w:p>
        </w:tc>
        <w:tc>
          <w:tcPr>
            <w:tcW w:w="2744" w:type="dxa"/>
            <w:shd w:val="clear" w:color="auto" w:fill="FFFFFF"/>
            <w:vAlign w:val="center"/>
          </w:tcPr>
          <w:p>
            <w:pPr>
              <w:pStyle w:val="4"/>
              <w:wordWrap w:val="0"/>
              <w:snapToGrid w:val="0"/>
              <w:spacing w:line="360" w:lineRule="auto"/>
              <w:jc w:val="center"/>
              <w:rPr>
                <w:rFonts w:cs="Courier New"/>
                <w:b/>
              </w:rPr>
            </w:pPr>
            <w:r>
              <w:rPr>
                <w:rFonts w:hint="eastAsia" w:cs="Courier New"/>
                <w:b/>
              </w:rPr>
              <w:t>项目名称</w:t>
            </w:r>
          </w:p>
        </w:tc>
        <w:tc>
          <w:tcPr>
            <w:tcW w:w="613" w:type="dxa"/>
            <w:shd w:val="clear" w:color="auto" w:fill="FFFFFF"/>
            <w:vAlign w:val="center"/>
          </w:tcPr>
          <w:p>
            <w:pPr>
              <w:pStyle w:val="4"/>
              <w:wordWrap w:val="0"/>
              <w:snapToGrid w:val="0"/>
              <w:spacing w:line="360" w:lineRule="auto"/>
              <w:jc w:val="center"/>
              <w:rPr>
                <w:rFonts w:cs="Courier New"/>
                <w:b/>
              </w:rPr>
            </w:pPr>
            <w:r>
              <w:rPr>
                <w:rFonts w:hint="eastAsia" w:cs="Courier New"/>
                <w:b/>
              </w:rPr>
              <w:t>数量</w:t>
            </w:r>
          </w:p>
        </w:tc>
        <w:tc>
          <w:tcPr>
            <w:tcW w:w="2824" w:type="dxa"/>
            <w:shd w:val="clear" w:color="auto" w:fill="FFFFFF"/>
            <w:vAlign w:val="center"/>
          </w:tcPr>
          <w:p>
            <w:pPr>
              <w:pStyle w:val="4"/>
              <w:wordWrap w:val="0"/>
              <w:spacing w:line="360" w:lineRule="auto"/>
              <w:jc w:val="center"/>
              <w:rPr>
                <w:b/>
                <w:color w:val="auto"/>
              </w:rPr>
            </w:pPr>
            <w:r>
              <w:rPr>
                <w:b/>
                <w:color w:val="auto"/>
              </w:rPr>
              <w:t>主要</w:t>
            </w:r>
            <w:r>
              <w:rPr>
                <w:rFonts w:hint="eastAsia"/>
                <w:b/>
                <w:color w:val="auto"/>
              </w:rPr>
              <w:t>参数要求</w:t>
            </w:r>
          </w:p>
        </w:tc>
        <w:tc>
          <w:tcPr>
            <w:tcW w:w="1420" w:type="dxa"/>
            <w:shd w:val="clear" w:color="auto" w:fill="FFFFFF"/>
            <w:vAlign w:val="center"/>
          </w:tcPr>
          <w:p>
            <w:pPr>
              <w:pStyle w:val="4"/>
              <w:wordWrap w:val="0"/>
              <w:snapToGrid w:val="0"/>
              <w:spacing w:line="360" w:lineRule="auto"/>
              <w:jc w:val="center"/>
              <w:rPr>
                <w:rFonts w:cs="宋体"/>
              </w:rPr>
            </w:pPr>
            <w:r>
              <w:rPr>
                <w:rFonts w:hint="eastAsia" w:cs="宋体"/>
              </w:rPr>
              <w:t>预算金额(元</w:t>
            </w:r>
            <w:r>
              <w:rPr>
                <w:rFonts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1" w:hRule="atLeast"/>
          <w:jc w:val="center"/>
        </w:trPr>
        <w:tc>
          <w:tcPr>
            <w:tcW w:w="713" w:type="dxa"/>
            <w:shd w:val="clear" w:color="auto" w:fill="FFFFFF"/>
            <w:vAlign w:val="center"/>
          </w:tcPr>
          <w:p>
            <w:pPr>
              <w:pStyle w:val="4"/>
              <w:wordWrap w:val="0"/>
              <w:spacing w:line="360" w:lineRule="auto"/>
              <w:jc w:val="center"/>
              <w:rPr>
                <w:color w:val="auto"/>
              </w:rPr>
            </w:pPr>
            <w:r>
              <w:rPr>
                <w:color w:val="auto"/>
              </w:rPr>
              <w:t>1</w:t>
            </w:r>
          </w:p>
        </w:tc>
        <w:tc>
          <w:tcPr>
            <w:tcW w:w="2744" w:type="dxa"/>
            <w:shd w:val="clear" w:color="auto" w:fill="FFFFFF"/>
            <w:vAlign w:val="center"/>
          </w:tcPr>
          <w:p>
            <w:pPr>
              <w:spacing w:line="360" w:lineRule="auto"/>
              <w:rPr>
                <w:rFonts w:ascii="宋体" w:hAnsi="宋体"/>
                <w:szCs w:val="21"/>
              </w:rPr>
            </w:pPr>
            <w:r>
              <w:rPr>
                <w:rFonts w:hint="eastAsia" w:ascii="宋体" w:hAnsi="宋体" w:eastAsia="宋体" w:cs="Times New Roman"/>
                <w:color w:val="auto"/>
                <w:kern w:val="1"/>
                <w:sz w:val="21"/>
                <w:szCs w:val="20"/>
                <w:lang w:val="en-US" w:eastAsia="zh-CN" w:bidi="ar-SA"/>
              </w:rPr>
              <w:t>高校思想政治工作队伍培训和研修中心（福建师范大学）微信公众号升级及管理平台开发项目</w:t>
            </w:r>
          </w:p>
        </w:tc>
        <w:tc>
          <w:tcPr>
            <w:tcW w:w="613" w:type="dxa"/>
            <w:shd w:val="clear" w:color="auto" w:fill="FFFFFF"/>
            <w:vAlign w:val="center"/>
          </w:tcPr>
          <w:p>
            <w:pPr>
              <w:wordWrap w:val="0"/>
              <w:spacing w:line="360" w:lineRule="auto"/>
              <w:jc w:val="center"/>
              <w:rPr>
                <w:rFonts w:ascii="宋体" w:hAnsi="宋体"/>
                <w:szCs w:val="21"/>
              </w:rPr>
            </w:pPr>
            <w:r>
              <w:rPr>
                <w:rFonts w:ascii="宋体" w:hAnsi="宋体" w:cs="宋体"/>
                <w:szCs w:val="21"/>
              </w:rPr>
              <w:t>1</w:t>
            </w:r>
            <w:r>
              <w:rPr>
                <w:rFonts w:hint="eastAsia" w:ascii="宋体" w:hAnsi="宋体" w:cs="宋体"/>
                <w:szCs w:val="21"/>
              </w:rPr>
              <w:t>套</w:t>
            </w:r>
          </w:p>
        </w:tc>
        <w:tc>
          <w:tcPr>
            <w:tcW w:w="2824" w:type="dxa"/>
            <w:shd w:val="clear" w:color="auto" w:fill="FFFFFF"/>
            <w:vAlign w:val="center"/>
          </w:tcPr>
          <w:p>
            <w:pPr>
              <w:pStyle w:val="4"/>
              <w:wordWrap w:val="0"/>
              <w:spacing w:line="360" w:lineRule="auto"/>
              <w:jc w:val="center"/>
              <w:rPr>
                <w:color w:val="auto"/>
              </w:rPr>
            </w:pPr>
            <w:r>
              <w:rPr>
                <w:rFonts w:hint="eastAsia"/>
                <w:color w:val="auto"/>
              </w:rPr>
              <w:t>详见附件</w:t>
            </w:r>
          </w:p>
        </w:tc>
        <w:tc>
          <w:tcPr>
            <w:tcW w:w="1420" w:type="dxa"/>
            <w:shd w:val="clear" w:color="auto" w:fill="FFFFFF"/>
            <w:vAlign w:val="center"/>
          </w:tcPr>
          <w:p>
            <w:pPr>
              <w:pStyle w:val="4"/>
              <w:wordWrap w:val="0"/>
              <w:snapToGrid w:val="0"/>
              <w:spacing w:line="360" w:lineRule="auto"/>
              <w:jc w:val="center"/>
              <w:rPr>
                <w:rFonts w:cs="宋体"/>
              </w:rPr>
            </w:pPr>
            <w:r>
              <w:rPr>
                <w:rFonts w:hint="eastAsia" w:cs="宋体"/>
              </w:rPr>
              <w:t>60000</w:t>
            </w:r>
          </w:p>
        </w:tc>
      </w:tr>
    </w:tbl>
    <w:p>
      <w:pPr>
        <w:pStyle w:val="3"/>
      </w:pPr>
      <w:r>
        <w:rPr>
          <w:rFonts w:hint="eastAsia"/>
        </w:rPr>
        <w:t>三、投标须知</w:t>
      </w:r>
    </w:p>
    <w:p>
      <w:pPr>
        <w:spacing w:line="360" w:lineRule="auto"/>
        <w:ind w:firstLine="480"/>
        <w:rPr>
          <w:rFonts w:asciiTheme="minorEastAsia" w:hAnsiTheme="minorEastAsia"/>
          <w:sz w:val="24"/>
          <w:szCs w:val="24"/>
        </w:rPr>
      </w:pPr>
      <w:r>
        <w:rPr>
          <w:rFonts w:hint="eastAsia" w:asciiTheme="minorEastAsia" w:hAnsiTheme="minorEastAsia"/>
          <w:sz w:val="24"/>
          <w:szCs w:val="24"/>
        </w:rPr>
        <w:t>（一）比选文件获取时间、方式：</w:t>
      </w:r>
    </w:p>
    <w:p>
      <w:pPr>
        <w:spacing w:line="360" w:lineRule="auto"/>
        <w:rPr>
          <w:rFonts w:hint="eastAsia" w:asciiTheme="minorEastAsia" w:hAnsiTheme="minorEastAsia"/>
          <w:sz w:val="24"/>
          <w:szCs w:val="24"/>
        </w:rPr>
      </w:pPr>
      <w:r>
        <w:rPr>
          <w:rFonts w:hint="eastAsia" w:asciiTheme="minorEastAsia" w:hAnsiTheme="minorEastAsia"/>
          <w:sz w:val="24"/>
          <w:szCs w:val="24"/>
        </w:rPr>
        <w:t>1.获取比选文件时间：[2020年</w:t>
      </w:r>
      <w:r>
        <w:rPr>
          <w:rFonts w:hint="eastAsia" w:asciiTheme="minorEastAsia" w:hAnsiTheme="minorEastAsia"/>
          <w:sz w:val="24"/>
          <w:szCs w:val="24"/>
          <w:lang w:val="en-US" w:eastAsia="zh-CN"/>
        </w:rPr>
        <w:t>6</w:t>
      </w:r>
      <w:r>
        <w:rPr>
          <w:rFonts w:hint="eastAsia" w:asciiTheme="minorEastAsia" w:hAnsiTheme="minorEastAsia"/>
          <w:sz w:val="24"/>
          <w:szCs w:val="24"/>
        </w:rPr>
        <w:t>月</w:t>
      </w:r>
      <w:r>
        <w:rPr>
          <w:rFonts w:hint="eastAsia" w:asciiTheme="minorEastAsia" w:hAnsiTheme="minorEastAsia"/>
          <w:sz w:val="24"/>
          <w:szCs w:val="24"/>
          <w:lang w:val="en-US" w:eastAsia="zh-CN"/>
        </w:rPr>
        <w:t>15</w:t>
      </w:r>
      <w:r>
        <w:rPr>
          <w:rFonts w:hint="eastAsia" w:asciiTheme="minorEastAsia" w:hAnsiTheme="minorEastAsia"/>
          <w:sz w:val="24"/>
          <w:szCs w:val="24"/>
        </w:rPr>
        <w:t>日至2020年</w:t>
      </w:r>
      <w:r>
        <w:rPr>
          <w:rFonts w:hint="eastAsia" w:asciiTheme="minorEastAsia" w:hAnsiTheme="minorEastAsia"/>
          <w:sz w:val="24"/>
          <w:szCs w:val="24"/>
          <w:lang w:val="en-US" w:eastAsia="zh-CN"/>
        </w:rPr>
        <w:t>6</w:t>
      </w:r>
      <w:r>
        <w:rPr>
          <w:rFonts w:hint="eastAsia" w:asciiTheme="minorEastAsia" w:hAnsiTheme="minorEastAsia"/>
          <w:sz w:val="24"/>
          <w:szCs w:val="24"/>
        </w:rPr>
        <w:t>月</w:t>
      </w:r>
      <w:r>
        <w:rPr>
          <w:rFonts w:hint="eastAsia" w:asciiTheme="minorEastAsia" w:hAnsiTheme="minorEastAsia"/>
          <w:sz w:val="24"/>
          <w:szCs w:val="24"/>
          <w:lang w:val="en-US" w:eastAsia="zh-CN"/>
        </w:rPr>
        <w:t>17日</w:t>
      </w:r>
      <w:r>
        <w:rPr>
          <w:rFonts w:hint="eastAsia" w:asciiTheme="minorEastAsia" w:hAnsiTheme="minorEastAsia"/>
          <w:sz w:val="24"/>
          <w:szCs w:val="24"/>
        </w:rPr>
        <w:t xml:space="preserve">]  </w:t>
      </w:r>
    </w:p>
    <w:p>
      <w:pPr>
        <w:keepNext w:val="0"/>
        <w:keepLines w:val="0"/>
        <w:pageBreakBefore w:val="0"/>
        <w:kinsoku/>
        <w:overflowPunct/>
        <w:topLinePunct w:val="0"/>
        <w:autoSpaceDE/>
        <w:autoSpaceDN/>
        <w:bidi w:val="0"/>
        <w:adjustRightInd/>
        <w:snapToGrid/>
        <w:spacing w:before="157" w:beforeLines="50" w:after="157" w:afterLines="50" w:line="400" w:lineRule="exact"/>
        <w:textAlignment w:val="auto"/>
        <w:rPr>
          <w:rFonts w:asciiTheme="minorEastAsia" w:hAnsiTheme="minorEastAsia"/>
          <w:sz w:val="24"/>
          <w:szCs w:val="24"/>
        </w:rPr>
      </w:pPr>
      <w:r>
        <w:rPr>
          <w:rFonts w:hint="eastAsia" w:asciiTheme="minorEastAsia" w:hAnsiTheme="minorEastAsia"/>
          <w:sz w:val="24"/>
          <w:szCs w:val="24"/>
        </w:rPr>
        <w:t>2.获取比选文件方式：各投标人自拟报名表</w:t>
      </w:r>
      <w:r>
        <w:rPr>
          <w:rFonts w:hint="eastAsia" w:asciiTheme="minorEastAsia" w:hAnsiTheme="minorEastAsia"/>
          <w:sz w:val="24"/>
          <w:szCs w:val="24"/>
          <w:lang w:eastAsia="zh-CN"/>
        </w:rPr>
        <w:t>邮寄至</w:t>
      </w:r>
      <w:r>
        <w:rPr>
          <w:rFonts w:hint="eastAsia" w:asciiTheme="minorEastAsia" w:hAnsiTheme="minorEastAsia" w:eastAsiaTheme="minorEastAsia" w:cstheme="minorEastAsia"/>
          <w:sz w:val="24"/>
          <w:szCs w:val="24"/>
          <w:u w:val="single"/>
        </w:rPr>
        <w:t>福州市闽侯</w:t>
      </w:r>
      <w:r>
        <w:rPr>
          <w:rFonts w:hint="eastAsia" w:asciiTheme="minorEastAsia" w:hAnsiTheme="minorEastAsia" w:eastAsiaTheme="minorEastAsia" w:cstheme="minorEastAsia"/>
          <w:sz w:val="24"/>
          <w:szCs w:val="24"/>
          <w:u w:val="single"/>
          <w:lang w:eastAsia="zh-CN"/>
        </w:rPr>
        <w:t>县</w:t>
      </w:r>
      <w:r>
        <w:rPr>
          <w:rFonts w:hint="eastAsia" w:asciiTheme="minorEastAsia" w:hAnsiTheme="minorEastAsia" w:eastAsiaTheme="minorEastAsia" w:cstheme="minorEastAsia"/>
          <w:sz w:val="24"/>
          <w:szCs w:val="24"/>
          <w:u w:val="single"/>
        </w:rPr>
        <w:t>上街镇</w:t>
      </w:r>
      <w:r>
        <w:rPr>
          <w:rFonts w:hint="eastAsia" w:asciiTheme="minorEastAsia" w:hAnsiTheme="minorEastAsia" w:eastAsiaTheme="minorEastAsia" w:cstheme="minorEastAsia"/>
          <w:sz w:val="24"/>
          <w:szCs w:val="24"/>
          <w:u w:val="single"/>
          <w:lang w:eastAsia="zh-CN"/>
        </w:rPr>
        <w:t>大学城</w:t>
      </w:r>
      <w:r>
        <w:rPr>
          <w:rFonts w:hint="eastAsia" w:asciiTheme="minorEastAsia" w:hAnsiTheme="minorEastAsia" w:eastAsiaTheme="minorEastAsia" w:cstheme="minorEastAsia"/>
          <w:sz w:val="24"/>
          <w:szCs w:val="24"/>
          <w:u w:val="single"/>
        </w:rPr>
        <w:t>福建师范大学人文楼</w:t>
      </w:r>
      <w:r>
        <w:rPr>
          <w:rFonts w:hint="eastAsia" w:asciiTheme="minorEastAsia" w:hAnsiTheme="minorEastAsia" w:eastAsiaTheme="minorEastAsia" w:cstheme="minorEastAsia"/>
          <w:sz w:val="24"/>
          <w:szCs w:val="24"/>
          <w:u w:val="single"/>
          <w:lang w:eastAsia="zh-CN"/>
        </w:rPr>
        <w:t>马克思主义学院</w:t>
      </w:r>
      <w:r>
        <w:rPr>
          <w:rFonts w:hint="eastAsia" w:asciiTheme="minorEastAsia" w:hAnsiTheme="minorEastAsia" w:eastAsiaTheme="minorEastAsia" w:cstheme="minorEastAsia"/>
          <w:sz w:val="24"/>
          <w:szCs w:val="24"/>
          <w:u w:val="single"/>
        </w:rPr>
        <w:t>5</w:t>
      </w:r>
      <w:r>
        <w:rPr>
          <w:rFonts w:hint="eastAsia" w:asciiTheme="minorEastAsia" w:hAnsiTheme="minorEastAsia" w:eastAsiaTheme="minorEastAsia" w:cstheme="minorEastAsia"/>
          <w:sz w:val="24"/>
          <w:szCs w:val="24"/>
          <w:u w:val="single"/>
          <w:lang w:val="en-US" w:eastAsia="zh-CN"/>
        </w:rPr>
        <w:t>03</w:t>
      </w:r>
      <w:r>
        <w:rPr>
          <w:rFonts w:hint="eastAsia" w:asciiTheme="minorEastAsia" w:hAnsiTheme="minorEastAsia" w:eastAsiaTheme="minorEastAsia" w:cstheme="minorEastAsia"/>
          <w:sz w:val="24"/>
          <w:szCs w:val="24"/>
          <w:u w:val="single"/>
        </w:rPr>
        <w:t>室</w:t>
      </w:r>
      <w:r>
        <w:rPr>
          <w:rFonts w:hint="eastAsia" w:asciiTheme="minorEastAsia" w:hAnsiTheme="minorEastAsia"/>
          <w:sz w:val="24"/>
          <w:szCs w:val="24"/>
        </w:rPr>
        <w:t>，报名表包含但不限于：采购项目名称、所投合同包号、投标单位名称、接收招标文件电子邮箱地址、联系人、联系手机等相关信息，并附上加盖公章的营业执照复印件。</w:t>
      </w:r>
    </w:p>
    <w:p>
      <w:pPr>
        <w:spacing w:line="360" w:lineRule="auto"/>
        <w:ind w:firstLine="480"/>
        <w:rPr>
          <w:rFonts w:asciiTheme="minorEastAsia" w:hAnsiTheme="minorEastAsia"/>
          <w:sz w:val="24"/>
          <w:szCs w:val="24"/>
          <w:highlight w:val="none"/>
        </w:rPr>
      </w:pPr>
      <w:r>
        <w:rPr>
          <w:rFonts w:hint="eastAsia" w:asciiTheme="minorEastAsia" w:hAnsiTheme="minorEastAsia"/>
          <w:sz w:val="24"/>
          <w:szCs w:val="24"/>
        </w:rPr>
        <w:t>（二）开标时间：</w:t>
      </w:r>
      <w:r>
        <w:rPr>
          <w:rFonts w:hint="eastAsia" w:asciiTheme="minorEastAsia" w:hAnsiTheme="minorEastAsia"/>
          <w:sz w:val="24"/>
          <w:szCs w:val="24"/>
          <w:highlight w:val="none"/>
        </w:rPr>
        <w:t>2020年</w:t>
      </w:r>
      <w:r>
        <w:rPr>
          <w:rFonts w:hint="eastAsia" w:asciiTheme="minorEastAsia" w:hAnsiTheme="minorEastAsia"/>
          <w:sz w:val="24"/>
          <w:szCs w:val="24"/>
          <w:highlight w:val="none"/>
          <w:lang w:val="en-US" w:eastAsia="zh-CN"/>
        </w:rPr>
        <w:t>6</w:t>
      </w:r>
      <w:r>
        <w:rPr>
          <w:rFonts w:hint="eastAsia" w:asciiTheme="minorEastAsia" w:hAnsiTheme="minorEastAsia"/>
          <w:sz w:val="24"/>
          <w:szCs w:val="24"/>
          <w:highlight w:val="none"/>
        </w:rPr>
        <w:t>月</w:t>
      </w:r>
      <w:r>
        <w:rPr>
          <w:rFonts w:hint="eastAsia" w:asciiTheme="minorEastAsia" w:hAnsiTheme="minorEastAsia"/>
          <w:sz w:val="24"/>
          <w:szCs w:val="24"/>
          <w:highlight w:val="none"/>
          <w:lang w:val="en-US" w:eastAsia="zh-CN"/>
        </w:rPr>
        <w:t>18</w:t>
      </w:r>
      <w:r>
        <w:rPr>
          <w:rFonts w:hint="eastAsia" w:asciiTheme="minorEastAsia" w:hAnsiTheme="minorEastAsia"/>
          <w:sz w:val="24"/>
          <w:szCs w:val="24"/>
          <w:highlight w:val="none"/>
        </w:rPr>
        <w:t>日9：30（北京时间）</w:t>
      </w:r>
    </w:p>
    <w:p>
      <w:pPr>
        <w:spacing w:line="360" w:lineRule="auto"/>
        <w:rPr>
          <w:rFonts w:asciiTheme="minorEastAsia" w:hAnsiTheme="minorEastAsia"/>
          <w:sz w:val="24"/>
          <w:szCs w:val="24"/>
        </w:rPr>
      </w:pPr>
      <w:r>
        <w:rPr>
          <w:rFonts w:hint="eastAsia" w:asciiTheme="minorEastAsia" w:hAnsiTheme="minorEastAsia"/>
          <w:sz w:val="24"/>
          <w:szCs w:val="24"/>
        </w:rPr>
        <w:t>　　（三）评标原则：</w:t>
      </w:r>
    </w:p>
    <w:p>
      <w:pPr>
        <w:spacing w:line="360" w:lineRule="auto"/>
        <w:ind w:firstLine="480"/>
        <w:rPr>
          <w:rFonts w:asciiTheme="minorEastAsia" w:hAnsiTheme="minorEastAsia"/>
          <w:sz w:val="24"/>
          <w:szCs w:val="24"/>
        </w:rPr>
      </w:pPr>
      <w:r>
        <w:rPr>
          <w:rFonts w:hint="eastAsia" w:asciiTheme="minorEastAsia" w:hAnsiTheme="minorEastAsia"/>
          <w:sz w:val="24"/>
          <w:szCs w:val="24"/>
        </w:rPr>
        <w:t>由询价小组成员按照“综合评标法”进行评审，以得分最高为中标供应商。</w:t>
      </w:r>
    </w:p>
    <w:p>
      <w:pPr>
        <w:spacing w:line="360" w:lineRule="auto"/>
        <w:ind w:firstLine="480"/>
        <w:rPr>
          <w:rFonts w:asciiTheme="minorEastAsia" w:hAnsiTheme="minorEastAsia"/>
          <w:sz w:val="24"/>
          <w:szCs w:val="24"/>
        </w:rPr>
      </w:pPr>
      <w:r>
        <w:rPr>
          <w:rFonts w:hint="eastAsia" w:asciiTheme="minorEastAsia" w:hAnsiTheme="minorEastAsia"/>
          <w:sz w:val="24"/>
          <w:szCs w:val="24"/>
        </w:rPr>
        <w:t>（四）废标条款：</w:t>
      </w:r>
    </w:p>
    <w:p>
      <w:pPr>
        <w:spacing w:line="360" w:lineRule="auto"/>
        <w:ind w:firstLine="480"/>
        <w:rPr>
          <w:rFonts w:asciiTheme="minorEastAsia" w:hAnsiTheme="minorEastAsia"/>
          <w:sz w:val="24"/>
          <w:szCs w:val="24"/>
        </w:rPr>
      </w:pPr>
      <w:r>
        <w:rPr>
          <w:rFonts w:hint="eastAsia" w:asciiTheme="minorEastAsia" w:hAnsiTheme="minorEastAsia"/>
          <w:sz w:val="24"/>
          <w:szCs w:val="24"/>
        </w:rPr>
        <w:t>1.</w:t>
      </w:r>
      <w:r>
        <w:rPr>
          <w:rFonts w:hint="eastAsia"/>
        </w:rPr>
        <w:t xml:space="preserve"> </w:t>
      </w:r>
      <w:r>
        <w:rPr>
          <w:rFonts w:hint="eastAsia" w:asciiTheme="minorEastAsia" w:hAnsiTheme="minorEastAsia"/>
          <w:sz w:val="24"/>
          <w:szCs w:val="24"/>
        </w:rPr>
        <w:t>根据《政府采购法》第三十六条规定，在招标采购中，出现下列情形之一的，应予废标：</w:t>
      </w:r>
    </w:p>
    <w:p>
      <w:pPr>
        <w:spacing w:line="360" w:lineRule="auto"/>
        <w:ind w:firstLine="480"/>
        <w:rPr>
          <w:rFonts w:asciiTheme="minorEastAsia" w:hAnsiTheme="minorEastAsia"/>
          <w:sz w:val="24"/>
          <w:szCs w:val="24"/>
        </w:rPr>
      </w:pPr>
      <w:r>
        <w:rPr>
          <w:rFonts w:hint="eastAsia" w:asciiTheme="minorEastAsia" w:hAnsiTheme="minorEastAsia"/>
          <w:sz w:val="24"/>
          <w:szCs w:val="24"/>
        </w:rPr>
        <w:t>1.1.出现影响采购公正的违法、违规行为的；</w:t>
      </w:r>
    </w:p>
    <w:p>
      <w:pPr>
        <w:spacing w:line="360" w:lineRule="auto"/>
        <w:ind w:firstLine="480"/>
        <w:rPr>
          <w:rFonts w:asciiTheme="minorEastAsia" w:hAnsiTheme="minorEastAsia"/>
          <w:sz w:val="24"/>
          <w:szCs w:val="24"/>
        </w:rPr>
      </w:pPr>
      <w:r>
        <w:rPr>
          <w:rFonts w:hint="eastAsia" w:asciiTheme="minorEastAsia" w:hAnsiTheme="minorEastAsia"/>
          <w:sz w:val="24"/>
          <w:szCs w:val="24"/>
        </w:rPr>
        <w:t>1.2.报价人的报价均超过了采购预算，采购人不能支付的；</w:t>
      </w:r>
    </w:p>
    <w:p>
      <w:pPr>
        <w:spacing w:line="360" w:lineRule="auto"/>
        <w:ind w:firstLine="480"/>
        <w:rPr>
          <w:rFonts w:asciiTheme="minorEastAsia" w:hAnsiTheme="minorEastAsia"/>
          <w:sz w:val="24"/>
          <w:szCs w:val="24"/>
        </w:rPr>
      </w:pPr>
      <w:r>
        <w:rPr>
          <w:rFonts w:hint="eastAsia" w:asciiTheme="minorEastAsia" w:hAnsiTheme="minorEastAsia"/>
          <w:sz w:val="24"/>
          <w:szCs w:val="24"/>
        </w:rPr>
        <w:t>1.3.因重大变故，采购任务取消的。</w:t>
      </w:r>
    </w:p>
    <w:p>
      <w:pPr>
        <w:spacing w:line="360" w:lineRule="auto"/>
        <w:rPr>
          <w:rFonts w:asciiTheme="minorEastAsia" w:hAnsiTheme="minorEastAsia"/>
          <w:sz w:val="24"/>
          <w:szCs w:val="24"/>
        </w:rPr>
      </w:pPr>
      <w:r>
        <w:rPr>
          <w:rFonts w:hint="eastAsia" w:asciiTheme="minorEastAsia" w:hAnsiTheme="minorEastAsia"/>
          <w:sz w:val="24"/>
          <w:szCs w:val="24"/>
        </w:rPr>
        <w:t>　　（五）商务要求：</w:t>
      </w:r>
    </w:p>
    <w:p>
      <w:pPr>
        <w:spacing w:line="360" w:lineRule="auto"/>
        <w:rPr>
          <w:rFonts w:asciiTheme="minorEastAsia" w:hAnsiTheme="minorEastAsia"/>
          <w:sz w:val="24"/>
          <w:szCs w:val="24"/>
        </w:rPr>
      </w:pPr>
      <w:r>
        <w:rPr>
          <w:rFonts w:hint="eastAsia" w:asciiTheme="minorEastAsia" w:hAnsiTheme="minorEastAsia"/>
          <w:sz w:val="24"/>
          <w:szCs w:val="24"/>
        </w:rPr>
        <w:t>　　1.付款方式：合同签订且成交单位开具发票后7个工作日内支付合同总价60%的服务费。完成验收且成交单位开具发票后7个工作日内支付合同总价40%的服务费。</w:t>
      </w:r>
    </w:p>
    <w:p>
      <w:pPr>
        <w:spacing w:line="360" w:lineRule="auto"/>
        <w:rPr>
          <w:rFonts w:asciiTheme="minorEastAsia" w:hAnsiTheme="minorEastAsia"/>
          <w:sz w:val="24"/>
          <w:szCs w:val="24"/>
        </w:rPr>
      </w:pPr>
      <w:r>
        <w:rPr>
          <w:rFonts w:hint="eastAsia" w:asciiTheme="minorEastAsia" w:hAnsiTheme="minorEastAsia"/>
          <w:sz w:val="24"/>
          <w:szCs w:val="24"/>
        </w:rPr>
        <w:t>　　2.项目服务：需要安排专人负责对接采购人需求。</w:t>
      </w:r>
    </w:p>
    <w:p>
      <w:pPr>
        <w:pStyle w:val="3"/>
      </w:pPr>
      <w:r>
        <w:rPr>
          <w:rFonts w:hint="eastAsia"/>
        </w:rPr>
        <w:t>四、采购形式</w:t>
      </w:r>
    </w:p>
    <w:p>
      <w:pPr>
        <w:spacing w:line="360" w:lineRule="auto"/>
        <w:rPr>
          <w:rFonts w:asciiTheme="minorEastAsia" w:hAnsiTheme="minorEastAsia"/>
          <w:sz w:val="24"/>
          <w:szCs w:val="24"/>
        </w:rPr>
      </w:pPr>
      <w:r>
        <w:rPr>
          <w:rFonts w:hint="eastAsia" w:asciiTheme="minorEastAsia" w:hAnsiTheme="minorEastAsia"/>
          <w:sz w:val="24"/>
          <w:szCs w:val="24"/>
        </w:rPr>
        <w:t>　　通过比选方式选择一家供应商承接该项目。请有意参加本项目的供应商，按要求向福建师范大学马克思主义学院提交相关材料。由福建师范大学马克思主义学院组建比选小组，对供应商基本情况和所提供材料及报价进行审核，采用综合评标法，选取一家作为成交人。</w:t>
      </w:r>
    </w:p>
    <w:p>
      <w:pPr>
        <w:pStyle w:val="3"/>
      </w:pPr>
      <w:r>
        <w:rPr>
          <w:rFonts w:hint="eastAsia"/>
        </w:rPr>
        <w:t>五、评审方法和评审内容</w:t>
      </w:r>
    </w:p>
    <w:p>
      <w:pPr>
        <w:spacing w:line="360" w:lineRule="auto"/>
        <w:ind w:firstLine="480"/>
        <w:rPr>
          <w:rFonts w:asciiTheme="minorEastAsia" w:hAnsiTheme="minorEastAsia"/>
          <w:sz w:val="24"/>
          <w:szCs w:val="24"/>
        </w:rPr>
      </w:pPr>
      <w:r>
        <w:rPr>
          <w:rFonts w:hint="eastAsia" w:asciiTheme="minorEastAsia" w:hAnsiTheme="minorEastAsia"/>
          <w:sz w:val="24"/>
          <w:szCs w:val="24"/>
        </w:rPr>
        <w:t>（一）评审方法：</w:t>
      </w:r>
    </w:p>
    <w:p>
      <w:pPr>
        <w:spacing w:line="360" w:lineRule="auto"/>
        <w:ind w:firstLine="480"/>
        <w:rPr>
          <w:rFonts w:asciiTheme="minorEastAsia" w:hAnsiTheme="minorEastAsia"/>
          <w:sz w:val="24"/>
          <w:szCs w:val="24"/>
        </w:rPr>
      </w:pPr>
      <w:r>
        <w:rPr>
          <w:rFonts w:hint="eastAsia" w:asciiTheme="minorEastAsia" w:hAnsiTheme="minorEastAsia"/>
          <w:sz w:val="24"/>
          <w:szCs w:val="24"/>
        </w:rPr>
        <w:t>1.采用综合评标法确定中标供应商</w:t>
      </w:r>
    </w:p>
    <w:p>
      <w:pPr>
        <w:spacing w:line="360" w:lineRule="auto"/>
        <w:ind w:firstLine="480"/>
        <w:jc w:val="left"/>
        <w:rPr>
          <w:rFonts w:asciiTheme="minorEastAsia" w:hAnsiTheme="minorEastAsia"/>
          <w:sz w:val="24"/>
          <w:szCs w:val="24"/>
        </w:rPr>
      </w:pPr>
      <w:r>
        <w:rPr>
          <w:rFonts w:hint="eastAsia" w:asciiTheme="minorEastAsia" w:hAnsiTheme="minorEastAsia"/>
          <w:sz w:val="24"/>
          <w:szCs w:val="24"/>
        </w:rPr>
        <w:t>（二）评审内容包含但不限于：</w:t>
      </w:r>
    </w:p>
    <w:p>
      <w:pPr>
        <w:spacing w:line="360" w:lineRule="auto"/>
        <w:ind w:firstLine="480"/>
        <w:rPr>
          <w:rFonts w:asciiTheme="minorEastAsia" w:hAnsiTheme="minorEastAsia"/>
          <w:sz w:val="24"/>
          <w:szCs w:val="24"/>
        </w:rPr>
      </w:pPr>
      <w:r>
        <w:rPr>
          <w:rFonts w:hint="eastAsia" w:asciiTheme="minorEastAsia" w:hAnsiTheme="minorEastAsia"/>
          <w:sz w:val="24"/>
          <w:szCs w:val="24"/>
        </w:rPr>
        <w:t>1.为做好平台赛事活动及新闻展示发布工作，供</w:t>
      </w:r>
      <w:bookmarkStart w:id="0" w:name="_Hlk42666703"/>
      <w:r>
        <w:rPr>
          <w:rFonts w:hint="eastAsia" w:asciiTheme="minorEastAsia" w:hAnsiTheme="minorEastAsia"/>
          <w:sz w:val="24"/>
          <w:szCs w:val="24"/>
        </w:rPr>
        <w:t>应商具有截止招标公告发布之日前取得的《活动策划管理系统》相关的著作权证书和《新闻信息展示系统》相关的著作权证书的优先考虑。</w:t>
      </w:r>
      <w:bookmarkEnd w:id="0"/>
    </w:p>
    <w:p>
      <w:pPr>
        <w:spacing w:line="360" w:lineRule="auto"/>
        <w:ind w:firstLine="480"/>
        <w:rPr>
          <w:rFonts w:asciiTheme="minorEastAsia" w:hAnsiTheme="minorEastAsia"/>
          <w:sz w:val="24"/>
          <w:szCs w:val="24"/>
        </w:rPr>
      </w:pPr>
      <w:r>
        <w:rPr>
          <w:rFonts w:hint="eastAsia" w:asciiTheme="minorEastAsia" w:hAnsiTheme="minorEastAsia"/>
          <w:sz w:val="24"/>
          <w:szCs w:val="24"/>
        </w:rPr>
        <w:t>2.为做好“高校思想政治工作队伍培训研修建设标准”中学员满意度调查及制定完善的工作人员选聘办法及管理制度，供应商具有截止招标公告发布之日前取得《招聘管理系统》相关的著作权证书和《知识宣传与问答管理系统》相关的著作权证书的优先考虑。。</w:t>
      </w:r>
    </w:p>
    <w:p>
      <w:pPr>
        <w:spacing w:line="360" w:lineRule="auto"/>
        <w:ind w:firstLine="480"/>
        <w:rPr>
          <w:rFonts w:asciiTheme="minorEastAsia" w:hAnsiTheme="minorEastAsia"/>
          <w:sz w:val="24"/>
          <w:szCs w:val="24"/>
        </w:rPr>
      </w:pPr>
      <w:r>
        <w:rPr>
          <w:rFonts w:hint="eastAsia" w:asciiTheme="minorEastAsia" w:hAnsiTheme="minorEastAsia"/>
          <w:sz w:val="24"/>
          <w:szCs w:val="24"/>
        </w:rPr>
        <w:t>3.为了让学员与毕业的校友产生互动，拉近彼此之间的距离，供应商能基于互联网的校友联络、校友会建设等，提供技术支撑的优先考虑。</w:t>
      </w:r>
    </w:p>
    <w:p>
      <w:pPr>
        <w:pStyle w:val="3"/>
      </w:pPr>
      <w:r>
        <w:rPr>
          <w:rFonts w:hint="eastAsia"/>
        </w:rPr>
        <w:t>六、供应商资质要求</w:t>
      </w:r>
    </w:p>
    <w:p>
      <w:pPr>
        <w:spacing w:line="360" w:lineRule="auto"/>
        <w:rPr>
          <w:rFonts w:asciiTheme="minorEastAsia" w:hAnsiTheme="minorEastAsia"/>
          <w:sz w:val="24"/>
          <w:szCs w:val="24"/>
        </w:rPr>
      </w:pPr>
      <w:r>
        <w:rPr>
          <w:rFonts w:hint="eastAsia" w:asciiTheme="minorEastAsia" w:hAnsiTheme="minorEastAsia"/>
          <w:sz w:val="24"/>
          <w:szCs w:val="24"/>
        </w:rPr>
        <w:t>　　（一）供应商应当具</w:t>
      </w:r>
    </w:p>
    <w:p>
      <w:pPr>
        <w:spacing w:line="360" w:lineRule="auto"/>
        <w:rPr>
          <w:rFonts w:asciiTheme="minorEastAsia" w:hAnsiTheme="minorEastAsia"/>
          <w:sz w:val="24"/>
          <w:szCs w:val="24"/>
        </w:rPr>
      </w:pPr>
      <w:r>
        <w:rPr>
          <w:rFonts w:hint="eastAsia" w:asciiTheme="minorEastAsia" w:hAnsiTheme="minorEastAsia"/>
          <w:sz w:val="24"/>
          <w:szCs w:val="24"/>
        </w:rPr>
        <w:t>　　政府采购法第二十二条第一款规定的条件，提供下列材料：</w:t>
      </w:r>
    </w:p>
    <w:p>
      <w:pPr>
        <w:spacing w:line="360" w:lineRule="auto"/>
        <w:rPr>
          <w:rFonts w:asciiTheme="minorEastAsia" w:hAnsiTheme="minorEastAsia"/>
          <w:sz w:val="24"/>
          <w:szCs w:val="24"/>
        </w:rPr>
      </w:pPr>
      <w:r>
        <w:rPr>
          <w:rFonts w:hint="eastAsia" w:asciiTheme="minorEastAsia" w:hAnsiTheme="minorEastAsia"/>
          <w:sz w:val="24"/>
          <w:szCs w:val="24"/>
        </w:rPr>
        <w:t>　　1.法人或者其他组织的营业执照等证明文件，自然人的身份证明。供应商是企业或个体工商户的，则提供工商部门注册的有效的营业执照复印件；供应商是事业单位的，则提供有效的“事业单位法人证书”复印件；供应商是非企业专业服务机构的，则提供执业许可等证明材料；供应商是自然人的，则提供自然人的身份证明复印件。</w:t>
      </w:r>
    </w:p>
    <w:p>
      <w:pPr>
        <w:spacing w:line="360" w:lineRule="auto"/>
        <w:rPr>
          <w:rFonts w:asciiTheme="minorEastAsia" w:hAnsiTheme="minorEastAsia"/>
          <w:sz w:val="24"/>
          <w:szCs w:val="24"/>
        </w:rPr>
      </w:pPr>
      <w:r>
        <w:rPr>
          <w:rFonts w:hint="eastAsia" w:asciiTheme="minorEastAsia" w:hAnsiTheme="minorEastAsia"/>
          <w:sz w:val="24"/>
          <w:szCs w:val="24"/>
        </w:rPr>
        <w:t>　　2.财务状况报告。提供会计师事务所出具的近两年任意一年审计报告，至少包括“资产负债表、利润表、现金流量表”；或者提供开户许可证和响应截止时间前六个月内基本开户银行出具的资信证明；或者提供财政部门认可的政府采购专业担保机构出具的担保函。</w:t>
      </w:r>
    </w:p>
    <w:p>
      <w:pPr>
        <w:spacing w:line="360" w:lineRule="auto"/>
        <w:rPr>
          <w:rFonts w:asciiTheme="minorEastAsia" w:hAnsiTheme="minorEastAsia"/>
          <w:sz w:val="24"/>
          <w:szCs w:val="24"/>
        </w:rPr>
      </w:pPr>
      <w:r>
        <w:rPr>
          <w:rFonts w:hint="eastAsia" w:asciiTheme="minorEastAsia" w:hAnsiTheme="minorEastAsia"/>
          <w:sz w:val="24"/>
          <w:szCs w:val="24"/>
        </w:rPr>
        <w:t>　　3.具备履行合同所必需设备和专业技术能力专项证明材料；</w:t>
      </w:r>
    </w:p>
    <w:p>
      <w:pPr>
        <w:spacing w:line="360" w:lineRule="auto"/>
        <w:rPr>
          <w:rFonts w:asciiTheme="minorEastAsia" w:hAnsiTheme="minorEastAsia"/>
          <w:sz w:val="24"/>
          <w:szCs w:val="24"/>
        </w:rPr>
      </w:pPr>
      <w:r>
        <w:rPr>
          <w:rFonts w:hint="eastAsia" w:asciiTheme="minorEastAsia" w:hAnsiTheme="minorEastAsia"/>
          <w:sz w:val="24"/>
          <w:szCs w:val="24"/>
        </w:rPr>
        <w:t>　　4.依法缴纳税收的相关材料。提供响应截止时间前六个月任一个月的依法缴纳税收的凭据；或者提供依法免税的相应证明文件。</w:t>
      </w:r>
    </w:p>
    <w:p>
      <w:pPr>
        <w:spacing w:line="360" w:lineRule="auto"/>
        <w:rPr>
          <w:rFonts w:asciiTheme="minorEastAsia" w:hAnsiTheme="minorEastAsia"/>
          <w:sz w:val="24"/>
          <w:szCs w:val="24"/>
        </w:rPr>
      </w:pPr>
      <w:r>
        <w:rPr>
          <w:rFonts w:hint="eastAsia" w:asciiTheme="minorEastAsia" w:hAnsiTheme="minorEastAsia"/>
          <w:sz w:val="24"/>
          <w:szCs w:val="24"/>
        </w:rPr>
        <w:t>　　5.依法缴纳社会保障资金的相关材料。提供响应截止时间前六个月任一个月的依法缴纳社会保障资金的凭据；或者提供依法不需要缴纳社会保障资金的相应证明文件</w:t>
      </w:r>
    </w:p>
    <w:p>
      <w:pPr>
        <w:spacing w:line="360" w:lineRule="auto"/>
        <w:rPr>
          <w:rFonts w:asciiTheme="minorEastAsia" w:hAnsiTheme="minorEastAsia"/>
          <w:sz w:val="24"/>
          <w:szCs w:val="24"/>
        </w:rPr>
      </w:pPr>
      <w:r>
        <w:rPr>
          <w:rFonts w:hint="eastAsia" w:asciiTheme="minorEastAsia" w:hAnsiTheme="minorEastAsia"/>
          <w:sz w:val="24"/>
          <w:szCs w:val="24"/>
        </w:rPr>
        <w:t>　　6.无犯罪、违反证明。参加本项目比选前3年内在经营活动中没有重大违法记录的书面声明，以及无行贿犯罪承诺函（承诺函由供应商自拟）。</w:t>
      </w:r>
    </w:p>
    <w:p>
      <w:pPr>
        <w:spacing w:line="360" w:lineRule="auto"/>
        <w:rPr>
          <w:rFonts w:asciiTheme="minorEastAsia" w:hAnsiTheme="minorEastAsia"/>
          <w:sz w:val="24"/>
          <w:szCs w:val="24"/>
        </w:rPr>
      </w:pPr>
      <w:r>
        <w:rPr>
          <w:rFonts w:hint="eastAsia" w:asciiTheme="minorEastAsia" w:hAnsiTheme="minorEastAsia"/>
          <w:sz w:val="24"/>
          <w:szCs w:val="24"/>
        </w:rPr>
        <w:t>　　7.提供信用信息查询记录证明材料。根据《财政部关于在政府采购活动中查询及使用信用记录有关问题的通知》&lt;财库〔2016〕125号&gt;精神，供应商须提供在比选公告发布后、报价截止前通过“信用中国”网站（www.creditchina.gov.cn）和中国政府采购网（www.ccgp.gov.cn）两个网站查询相关主体信用记录证明材料（打印件或截图），在评审时将对供应商信用记录进行甄别，对列入失信被执行人、重大税收违法案件当事人名单、政府采购严重违法失信行为记录名单的供应商，其报价响应文件将被视为无效。</w:t>
      </w:r>
    </w:p>
    <w:p>
      <w:pPr>
        <w:spacing w:line="360" w:lineRule="auto"/>
        <w:rPr>
          <w:rFonts w:asciiTheme="minorEastAsia" w:hAnsiTheme="minorEastAsia"/>
          <w:sz w:val="24"/>
          <w:szCs w:val="24"/>
        </w:rPr>
      </w:pPr>
      <w:r>
        <w:rPr>
          <w:rFonts w:hint="eastAsia" w:asciiTheme="minorEastAsia" w:hAnsiTheme="minorEastAsia"/>
          <w:sz w:val="24"/>
          <w:szCs w:val="24"/>
        </w:rPr>
        <w:t>　　8.提供1份报价表（格式自拟），并单独成册。</w:t>
      </w:r>
    </w:p>
    <w:p>
      <w:pPr>
        <w:spacing w:line="360" w:lineRule="auto"/>
        <w:rPr>
          <w:rFonts w:hint="eastAsia" w:asciiTheme="minorEastAsia" w:hAnsiTheme="minorEastAsia"/>
          <w:sz w:val="24"/>
          <w:szCs w:val="24"/>
        </w:rPr>
      </w:pPr>
      <w:r>
        <w:rPr>
          <w:rFonts w:hint="eastAsia" w:asciiTheme="minorEastAsia" w:hAnsiTheme="minorEastAsia"/>
          <w:sz w:val="24"/>
          <w:szCs w:val="24"/>
        </w:rPr>
        <w:t>　　（二）本项目不接受联合体参与报价。</w:t>
      </w:r>
    </w:p>
    <w:p>
      <w:pPr>
        <w:pStyle w:val="3"/>
      </w:pPr>
      <w:r>
        <w:rPr>
          <w:rFonts w:hint="eastAsia"/>
        </w:rPr>
        <w:t>七、响应文件的编制</w:t>
      </w:r>
    </w:p>
    <w:p>
      <w:pPr>
        <w:spacing w:line="360" w:lineRule="auto"/>
        <w:ind w:firstLine="480"/>
        <w:rPr>
          <w:rFonts w:asciiTheme="minorEastAsia" w:hAnsiTheme="minorEastAsia"/>
          <w:sz w:val="24"/>
          <w:szCs w:val="24"/>
        </w:rPr>
      </w:pPr>
      <w:r>
        <w:rPr>
          <w:rFonts w:hint="eastAsia" w:asciiTheme="minorEastAsia" w:hAnsiTheme="minorEastAsia"/>
          <w:sz w:val="24"/>
          <w:szCs w:val="24"/>
        </w:rPr>
        <w:t>供应商根据以上要求编制响应文件：</w:t>
      </w:r>
    </w:p>
    <w:p>
      <w:pPr>
        <w:spacing w:line="360" w:lineRule="auto"/>
        <w:ind w:firstLine="480"/>
        <w:rPr>
          <w:rFonts w:asciiTheme="minorEastAsia" w:hAnsiTheme="minorEastAsia"/>
          <w:sz w:val="24"/>
          <w:szCs w:val="24"/>
        </w:rPr>
      </w:pPr>
      <w:r>
        <w:rPr>
          <w:rFonts w:hint="eastAsia" w:asciiTheme="minorEastAsia" w:hAnsiTheme="minorEastAsia"/>
          <w:sz w:val="24"/>
          <w:szCs w:val="24"/>
        </w:rPr>
        <w:t>（1）资格相关材料；</w:t>
      </w:r>
    </w:p>
    <w:p>
      <w:pPr>
        <w:spacing w:line="360" w:lineRule="auto"/>
        <w:ind w:firstLine="480"/>
        <w:rPr>
          <w:rFonts w:asciiTheme="minorEastAsia" w:hAnsiTheme="minorEastAsia"/>
          <w:sz w:val="24"/>
          <w:szCs w:val="24"/>
        </w:rPr>
      </w:pPr>
      <w:r>
        <w:rPr>
          <w:rFonts w:hint="eastAsia" w:asciiTheme="minorEastAsia" w:hAnsiTheme="minorEastAsia"/>
          <w:sz w:val="24"/>
          <w:szCs w:val="24"/>
        </w:rPr>
        <w:t>（2）报价表（单独成册）；</w:t>
      </w:r>
    </w:p>
    <w:p>
      <w:pPr>
        <w:spacing w:line="360" w:lineRule="auto"/>
        <w:ind w:firstLine="480"/>
        <w:rPr>
          <w:rFonts w:asciiTheme="minorEastAsia" w:hAnsiTheme="minorEastAsia"/>
          <w:sz w:val="24"/>
          <w:szCs w:val="24"/>
        </w:rPr>
      </w:pPr>
      <w:r>
        <w:rPr>
          <w:rFonts w:hint="eastAsia" w:asciiTheme="minorEastAsia" w:hAnsiTheme="minorEastAsia"/>
          <w:sz w:val="24"/>
          <w:szCs w:val="24"/>
        </w:rPr>
        <w:t>请供应商认真、详细地制定响应文件。响应文件正本一份、副本两份。响应文件须用A4幅面纸张打印，应编制封面、目录、页码，必须用线装或胶装（为永久性、无破坏不可拆分）装订成册，并在相应位置签名并加盖公章，须加盖骑缝章或逐页盖章并在封面加盖公章，在封面标明“正本”“副本”字样。副本可用正本的复印件，正本与副本内容如有不一致，则以正本为准。</w:t>
      </w:r>
    </w:p>
    <w:p>
      <w:pPr>
        <w:spacing w:line="360" w:lineRule="auto"/>
        <w:ind w:right="1440"/>
        <w:jc w:val="right"/>
        <w:rPr>
          <w:rFonts w:asciiTheme="minorEastAsia" w:hAnsiTheme="minorEastAsia"/>
          <w:sz w:val="24"/>
          <w:szCs w:val="24"/>
        </w:rPr>
      </w:pPr>
    </w:p>
    <w:p>
      <w:pPr>
        <w:spacing w:line="360" w:lineRule="auto"/>
        <w:ind w:right="2400"/>
        <w:jc w:val="right"/>
        <w:rPr>
          <w:rFonts w:asciiTheme="minorEastAsia" w:hAnsiTheme="minorEastAsia"/>
          <w:sz w:val="24"/>
          <w:szCs w:val="24"/>
        </w:rPr>
      </w:pPr>
      <w:r>
        <w:rPr>
          <w:rFonts w:hint="eastAsia" w:asciiTheme="minorEastAsia" w:hAnsiTheme="minorEastAsia"/>
          <w:sz w:val="24"/>
          <w:szCs w:val="24"/>
        </w:rPr>
        <w:t>联系人：许老师</w:t>
      </w:r>
    </w:p>
    <w:p>
      <w:pPr>
        <w:spacing w:line="360" w:lineRule="auto"/>
        <w:ind w:right="1200" w:firstLine="4320" w:firstLineChars="1800"/>
        <w:jc w:val="left"/>
        <w:rPr>
          <w:rFonts w:asciiTheme="minorEastAsia" w:hAnsiTheme="minorEastAsia"/>
          <w:sz w:val="24"/>
          <w:szCs w:val="24"/>
        </w:rPr>
      </w:pPr>
      <w:r>
        <w:rPr>
          <w:rFonts w:hint="eastAsia" w:asciiTheme="minorEastAsia" w:hAnsiTheme="minorEastAsia"/>
          <w:sz w:val="24"/>
          <w:szCs w:val="24"/>
        </w:rPr>
        <w:t>联系电话：</w:t>
      </w:r>
      <w:r>
        <w:rPr>
          <w:rFonts w:asciiTheme="minorEastAsia" w:hAnsiTheme="minorEastAsia"/>
          <w:sz w:val="24"/>
          <w:szCs w:val="24"/>
        </w:rPr>
        <w:t>0591-22868295</w:t>
      </w:r>
    </w:p>
    <w:p>
      <w:pPr>
        <w:spacing w:line="360" w:lineRule="auto"/>
        <w:ind w:firstLine="4320" w:firstLineChars="1800"/>
        <w:jc w:val="left"/>
        <w:rPr>
          <w:rFonts w:asciiTheme="minorEastAsia" w:hAnsiTheme="minorEastAsia"/>
          <w:sz w:val="24"/>
          <w:szCs w:val="24"/>
        </w:rPr>
      </w:pPr>
      <w:r>
        <w:rPr>
          <w:rFonts w:hint="eastAsia" w:asciiTheme="minorEastAsia" w:hAnsiTheme="minorEastAsia"/>
          <w:sz w:val="24"/>
          <w:szCs w:val="24"/>
        </w:rPr>
        <w:t>福建师范大学马克思主义学院</w:t>
      </w:r>
    </w:p>
    <w:p>
      <w:pPr>
        <w:spacing w:line="360" w:lineRule="auto"/>
        <w:ind w:right="1440"/>
        <w:jc w:val="center"/>
        <w:rPr>
          <w:rFonts w:hint="eastAsia"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rPr>
        <w:t>2020年</w:t>
      </w:r>
      <w:r>
        <w:rPr>
          <w:rFonts w:hint="eastAsia" w:asciiTheme="minorEastAsia" w:hAnsiTheme="minorEastAsia"/>
          <w:sz w:val="24"/>
          <w:szCs w:val="24"/>
          <w:lang w:val="en-US" w:eastAsia="zh-CN"/>
        </w:rPr>
        <w:t>6</w:t>
      </w:r>
      <w:r>
        <w:rPr>
          <w:rFonts w:hint="eastAsia" w:asciiTheme="minorEastAsia" w:hAnsiTheme="minorEastAsia"/>
          <w:sz w:val="24"/>
          <w:szCs w:val="24"/>
        </w:rPr>
        <w:t>月</w:t>
      </w:r>
      <w:r>
        <w:rPr>
          <w:rFonts w:hint="eastAsia" w:asciiTheme="minorEastAsia" w:hAnsiTheme="minorEastAsia"/>
          <w:sz w:val="24"/>
          <w:szCs w:val="24"/>
          <w:lang w:val="en-US" w:eastAsia="zh-CN"/>
        </w:rPr>
        <w:t>14</w:t>
      </w:r>
      <w:r>
        <w:rPr>
          <w:rFonts w:hint="eastAsia" w:asciiTheme="minorEastAsia" w:hAnsiTheme="minorEastAsia"/>
          <w:sz w:val="24"/>
          <w:szCs w:val="24"/>
        </w:rPr>
        <w:t xml:space="preserve"> 日</w:t>
      </w:r>
    </w:p>
    <w:p>
      <w:pPr>
        <w:spacing w:line="360" w:lineRule="auto"/>
        <w:ind w:right="480"/>
        <w:jc w:val="left"/>
        <w:rPr>
          <w:rFonts w:asciiTheme="minorEastAsia" w:hAnsiTheme="minorEastAsia"/>
          <w:sz w:val="24"/>
          <w:szCs w:val="24"/>
        </w:rPr>
      </w:pPr>
    </w:p>
    <w:p>
      <w:pPr>
        <w:spacing w:line="360" w:lineRule="auto"/>
        <w:ind w:right="480"/>
        <w:jc w:val="left"/>
        <w:rPr>
          <w:rFonts w:asciiTheme="minorEastAsia" w:hAnsiTheme="minorEastAsia"/>
          <w:sz w:val="24"/>
          <w:szCs w:val="24"/>
        </w:rPr>
      </w:pPr>
    </w:p>
    <w:p>
      <w:pPr>
        <w:spacing w:line="360" w:lineRule="auto"/>
        <w:ind w:right="480"/>
        <w:jc w:val="left"/>
        <w:rPr>
          <w:rFonts w:asciiTheme="minorEastAsia" w:hAnsiTheme="minorEastAsia"/>
          <w:sz w:val="24"/>
          <w:szCs w:val="24"/>
        </w:rPr>
      </w:pPr>
      <w:bookmarkStart w:id="1" w:name="_GoBack"/>
      <w:bookmarkEnd w:id="1"/>
    </w:p>
    <w:p>
      <w:pPr>
        <w:spacing w:line="360" w:lineRule="auto"/>
        <w:ind w:right="480"/>
        <w:jc w:val="left"/>
        <w:rPr>
          <w:rFonts w:asciiTheme="minorEastAsia" w:hAnsiTheme="minorEastAsia"/>
          <w:sz w:val="24"/>
          <w:szCs w:val="24"/>
        </w:rPr>
      </w:pPr>
    </w:p>
    <w:p>
      <w:pPr>
        <w:spacing w:line="360" w:lineRule="auto"/>
        <w:ind w:right="480"/>
        <w:jc w:val="left"/>
        <w:rPr>
          <w:rFonts w:asciiTheme="minorEastAsia" w:hAnsiTheme="minorEastAsia"/>
          <w:sz w:val="24"/>
          <w:szCs w:val="24"/>
        </w:rPr>
      </w:pPr>
    </w:p>
    <w:p>
      <w:pPr>
        <w:spacing w:line="360" w:lineRule="auto"/>
        <w:ind w:right="480"/>
        <w:jc w:val="left"/>
        <w:rPr>
          <w:rFonts w:asciiTheme="minorEastAsia" w:hAnsiTheme="minorEastAsia"/>
          <w:sz w:val="24"/>
          <w:szCs w:val="24"/>
        </w:rPr>
      </w:pPr>
    </w:p>
    <w:p>
      <w:pPr>
        <w:spacing w:line="360" w:lineRule="auto"/>
        <w:ind w:right="480"/>
        <w:jc w:val="left"/>
        <w:rPr>
          <w:rFonts w:asciiTheme="minorEastAsia" w:hAnsiTheme="minorEastAsia"/>
          <w:sz w:val="24"/>
          <w:szCs w:val="24"/>
        </w:rPr>
      </w:pPr>
    </w:p>
    <w:p>
      <w:pPr>
        <w:spacing w:line="360" w:lineRule="auto"/>
        <w:ind w:right="480"/>
        <w:jc w:val="left"/>
        <w:rPr>
          <w:rFonts w:asciiTheme="minorEastAsia" w:hAnsiTheme="minorEastAsia"/>
          <w:sz w:val="24"/>
          <w:szCs w:val="24"/>
        </w:rPr>
      </w:pPr>
    </w:p>
    <w:p>
      <w:pPr>
        <w:spacing w:line="360" w:lineRule="auto"/>
        <w:ind w:right="480"/>
        <w:jc w:val="left"/>
        <w:rPr>
          <w:rFonts w:asciiTheme="minorEastAsia" w:hAnsiTheme="minorEastAsia"/>
          <w:sz w:val="24"/>
          <w:szCs w:val="24"/>
        </w:rPr>
      </w:pPr>
    </w:p>
    <w:p>
      <w:pPr>
        <w:spacing w:line="360" w:lineRule="auto"/>
        <w:ind w:right="480"/>
        <w:jc w:val="left"/>
        <w:rPr>
          <w:rFonts w:asciiTheme="minorEastAsia" w:hAnsiTheme="minorEastAsia"/>
          <w:sz w:val="24"/>
          <w:szCs w:val="24"/>
        </w:rPr>
      </w:pPr>
    </w:p>
    <w:p>
      <w:pPr>
        <w:spacing w:line="360" w:lineRule="auto"/>
        <w:ind w:right="480"/>
        <w:jc w:val="left"/>
        <w:rPr>
          <w:rFonts w:asciiTheme="minorEastAsia" w:hAnsiTheme="minorEastAsia"/>
          <w:sz w:val="24"/>
          <w:szCs w:val="24"/>
        </w:rPr>
      </w:pPr>
    </w:p>
    <w:p>
      <w:pPr>
        <w:spacing w:line="360" w:lineRule="auto"/>
        <w:ind w:right="480"/>
        <w:jc w:val="left"/>
        <w:rPr>
          <w:rFonts w:asciiTheme="minorEastAsia" w:hAnsiTheme="minorEastAsia"/>
          <w:sz w:val="24"/>
          <w:szCs w:val="24"/>
        </w:rPr>
      </w:pPr>
    </w:p>
    <w:p>
      <w:pPr>
        <w:spacing w:line="360" w:lineRule="auto"/>
        <w:ind w:right="480"/>
        <w:jc w:val="left"/>
        <w:rPr>
          <w:rFonts w:asciiTheme="minorEastAsia" w:hAnsiTheme="minorEastAsia"/>
          <w:sz w:val="24"/>
          <w:szCs w:val="24"/>
        </w:rPr>
      </w:pPr>
    </w:p>
    <w:p>
      <w:pPr>
        <w:spacing w:line="360" w:lineRule="auto"/>
        <w:ind w:right="480"/>
        <w:jc w:val="left"/>
        <w:rPr>
          <w:rFonts w:asciiTheme="minorEastAsia" w:hAnsiTheme="minorEastAsia"/>
          <w:sz w:val="24"/>
          <w:szCs w:val="24"/>
        </w:rPr>
      </w:pPr>
    </w:p>
    <w:p>
      <w:pPr>
        <w:spacing w:line="360" w:lineRule="auto"/>
        <w:ind w:right="480"/>
        <w:jc w:val="left"/>
        <w:rPr>
          <w:rFonts w:asciiTheme="minorEastAsia" w:hAnsiTheme="minorEastAsia"/>
          <w:sz w:val="24"/>
          <w:szCs w:val="24"/>
        </w:rPr>
      </w:pPr>
    </w:p>
    <w:p>
      <w:pPr>
        <w:spacing w:line="360" w:lineRule="auto"/>
        <w:ind w:right="480"/>
        <w:jc w:val="left"/>
        <w:rPr>
          <w:rFonts w:asciiTheme="minorEastAsia" w:hAnsiTheme="minorEastAsia"/>
          <w:sz w:val="24"/>
          <w:szCs w:val="24"/>
        </w:rPr>
      </w:pPr>
    </w:p>
    <w:p>
      <w:pPr>
        <w:spacing w:line="360" w:lineRule="auto"/>
        <w:ind w:right="480"/>
        <w:jc w:val="left"/>
        <w:rPr>
          <w:rFonts w:asciiTheme="minorEastAsia" w:hAnsiTheme="minorEastAsia"/>
          <w:sz w:val="24"/>
          <w:szCs w:val="24"/>
        </w:rPr>
      </w:pPr>
    </w:p>
    <w:p>
      <w:pPr>
        <w:spacing w:line="360" w:lineRule="auto"/>
        <w:ind w:right="480"/>
        <w:jc w:val="left"/>
        <w:rPr>
          <w:rFonts w:hint="eastAsia" w:asciiTheme="minorEastAsia" w:hAnsiTheme="minorEastAsia"/>
          <w:sz w:val="24"/>
          <w:szCs w:val="24"/>
        </w:rPr>
      </w:pPr>
    </w:p>
    <w:p>
      <w:pPr>
        <w:spacing w:line="360" w:lineRule="auto"/>
        <w:ind w:right="480"/>
        <w:jc w:val="left"/>
        <w:rPr>
          <w:rFonts w:asciiTheme="minorEastAsia" w:hAnsiTheme="minorEastAsia"/>
          <w:sz w:val="24"/>
          <w:szCs w:val="24"/>
        </w:rPr>
      </w:pPr>
    </w:p>
    <w:p>
      <w:pPr>
        <w:spacing w:line="360" w:lineRule="auto"/>
        <w:ind w:right="480"/>
        <w:jc w:val="left"/>
        <w:rPr>
          <w:rFonts w:asciiTheme="minorEastAsia" w:hAnsiTheme="minorEastAsia"/>
          <w:sz w:val="24"/>
          <w:szCs w:val="24"/>
        </w:rPr>
      </w:pPr>
      <w:r>
        <w:rPr>
          <w:rFonts w:hint="eastAsia" w:asciiTheme="minorEastAsia" w:hAnsiTheme="minorEastAsia"/>
          <w:sz w:val="24"/>
          <w:szCs w:val="24"/>
        </w:rPr>
        <w:t>附件</w:t>
      </w:r>
    </w:p>
    <w:p>
      <w:pPr>
        <w:spacing w:line="360" w:lineRule="auto"/>
        <w:ind w:right="480"/>
        <w:jc w:val="center"/>
        <w:rPr>
          <w:rFonts w:asciiTheme="minorEastAsia" w:hAnsiTheme="minorEastAsia"/>
          <w:b/>
          <w:bCs/>
          <w:sz w:val="24"/>
          <w:szCs w:val="24"/>
        </w:rPr>
      </w:pPr>
      <w:r>
        <w:rPr>
          <w:rFonts w:hint="eastAsia" w:asciiTheme="minorEastAsia" w:hAnsiTheme="minorEastAsia"/>
          <w:b/>
          <w:bCs/>
          <w:sz w:val="24"/>
          <w:szCs w:val="24"/>
        </w:rPr>
        <w:t>技术和服务要求</w:t>
      </w:r>
    </w:p>
    <w:p>
      <w:pPr>
        <w:spacing w:line="360" w:lineRule="auto"/>
        <w:ind w:right="482" w:firstLine="480" w:firstLineChars="200"/>
        <w:rPr>
          <w:rFonts w:asciiTheme="minorEastAsia" w:hAnsiTheme="minorEastAsia"/>
          <w:sz w:val="24"/>
          <w:szCs w:val="24"/>
        </w:rPr>
      </w:pPr>
      <w:r>
        <w:rPr>
          <w:rFonts w:hint="eastAsia" w:asciiTheme="minorEastAsia" w:hAnsiTheme="minorEastAsia"/>
          <w:sz w:val="24"/>
          <w:szCs w:val="24"/>
        </w:rPr>
        <w:t xml:space="preserve">为加快高校思想政治工作队伍培训信息化进程，实现区域内队伍建设信息互通、成果共享、优势互补，公众号开发应具备以下功能点： </w:t>
      </w:r>
    </w:p>
    <w:p>
      <w:pPr>
        <w:spacing w:line="360" w:lineRule="auto"/>
        <w:ind w:right="482" w:firstLine="482" w:firstLineChars="200"/>
        <w:rPr>
          <w:rFonts w:asciiTheme="minorEastAsia" w:hAnsiTheme="minorEastAsia"/>
          <w:b/>
          <w:bCs/>
          <w:sz w:val="24"/>
          <w:szCs w:val="24"/>
        </w:rPr>
      </w:pPr>
      <w:r>
        <w:rPr>
          <w:rFonts w:hint="eastAsia" w:asciiTheme="minorEastAsia" w:hAnsiTheme="minorEastAsia"/>
          <w:b/>
          <w:bCs/>
          <w:sz w:val="24"/>
          <w:szCs w:val="24"/>
        </w:rPr>
        <w:t>1、前台系统</w:t>
      </w:r>
    </w:p>
    <w:p>
      <w:pPr>
        <w:spacing w:line="360" w:lineRule="auto"/>
        <w:ind w:right="482" w:firstLine="480" w:firstLineChars="200"/>
        <w:rPr>
          <w:rFonts w:asciiTheme="minorEastAsia" w:hAnsiTheme="minorEastAsia"/>
          <w:sz w:val="24"/>
          <w:szCs w:val="24"/>
        </w:rPr>
      </w:pPr>
      <w:r>
        <w:rPr>
          <w:rFonts w:hint="eastAsia" w:asciiTheme="minorEastAsia" w:hAnsiTheme="minorEastAsia"/>
          <w:sz w:val="24"/>
          <w:szCs w:val="24"/>
        </w:rPr>
        <w:t>1.1.用户模块：用户注册、用户登入、安全设置、个人中心、我的课程、我的课题、我的科教活动、我的成果。</w:t>
      </w:r>
    </w:p>
    <w:p>
      <w:pPr>
        <w:spacing w:line="360" w:lineRule="auto"/>
        <w:ind w:right="482" w:firstLine="480" w:firstLineChars="200"/>
        <w:rPr>
          <w:rFonts w:asciiTheme="minorEastAsia" w:hAnsiTheme="minorEastAsia"/>
          <w:sz w:val="24"/>
          <w:szCs w:val="24"/>
        </w:rPr>
      </w:pPr>
      <w:r>
        <w:rPr>
          <w:rFonts w:hint="eastAsia" w:asciiTheme="minorEastAsia" w:hAnsiTheme="minorEastAsia"/>
          <w:sz w:val="24"/>
          <w:szCs w:val="24"/>
        </w:rPr>
        <w:t>1.2.咨询模块：校内公告展示、校内新闻展示、学员成果展示、优秀教研征文展示、赛事资讯展示、学员荣誉展示。</w:t>
      </w:r>
    </w:p>
    <w:p>
      <w:pPr>
        <w:spacing w:line="360" w:lineRule="auto"/>
        <w:ind w:right="482" w:firstLine="480" w:firstLineChars="200"/>
        <w:rPr>
          <w:rFonts w:asciiTheme="minorEastAsia" w:hAnsiTheme="minorEastAsia"/>
          <w:sz w:val="24"/>
          <w:szCs w:val="24"/>
        </w:rPr>
      </w:pPr>
      <w:r>
        <w:rPr>
          <w:rFonts w:hint="eastAsia" w:asciiTheme="minorEastAsia" w:hAnsiTheme="minorEastAsia"/>
          <w:sz w:val="24"/>
          <w:szCs w:val="24"/>
        </w:rPr>
        <w:t>1.3.科研教学模块：科研项目申报、征文发布、赛事报名。</w:t>
      </w:r>
    </w:p>
    <w:p>
      <w:pPr>
        <w:spacing w:line="360" w:lineRule="auto"/>
        <w:ind w:right="482" w:firstLine="480" w:firstLineChars="200"/>
        <w:rPr>
          <w:rFonts w:asciiTheme="minorEastAsia" w:hAnsiTheme="minorEastAsia"/>
          <w:sz w:val="24"/>
          <w:szCs w:val="24"/>
        </w:rPr>
      </w:pPr>
      <w:r>
        <w:rPr>
          <w:rFonts w:hint="eastAsia" w:asciiTheme="minorEastAsia" w:hAnsiTheme="minorEastAsia"/>
          <w:sz w:val="24"/>
          <w:szCs w:val="24"/>
        </w:rPr>
        <w:t>1.4课程模块：课程表、课程信息展示、课程报名、课程签到、课程资料上传、荣誉上报。</w:t>
      </w:r>
    </w:p>
    <w:p>
      <w:pPr>
        <w:spacing w:line="360" w:lineRule="auto"/>
        <w:ind w:right="482" w:firstLine="482" w:firstLineChars="200"/>
        <w:rPr>
          <w:rFonts w:asciiTheme="minorEastAsia" w:hAnsiTheme="minorEastAsia"/>
          <w:b/>
          <w:bCs/>
          <w:sz w:val="24"/>
          <w:szCs w:val="24"/>
        </w:rPr>
      </w:pPr>
      <w:r>
        <w:rPr>
          <w:rFonts w:hint="eastAsia" w:asciiTheme="minorEastAsia" w:hAnsiTheme="minorEastAsia"/>
          <w:b/>
          <w:bCs/>
          <w:sz w:val="24"/>
          <w:szCs w:val="24"/>
        </w:rPr>
        <w:t>2、后台系统</w:t>
      </w:r>
    </w:p>
    <w:p>
      <w:pPr>
        <w:spacing w:line="360" w:lineRule="auto"/>
        <w:ind w:right="482" w:firstLine="480" w:firstLineChars="200"/>
        <w:rPr>
          <w:rFonts w:asciiTheme="minorEastAsia" w:hAnsiTheme="minorEastAsia"/>
          <w:sz w:val="24"/>
          <w:szCs w:val="24"/>
        </w:rPr>
      </w:pPr>
      <w:r>
        <w:rPr>
          <w:rFonts w:hint="eastAsia" w:asciiTheme="minorEastAsia" w:hAnsiTheme="minorEastAsia"/>
          <w:sz w:val="24"/>
          <w:szCs w:val="24"/>
        </w:rPr>
        <w:t>2.1.用户模块：登入、个人中心、安全设置。</w:t>
      </w:r>
    </w:p>
    <w:p>
      <w:pPr>
        <w:spacing w:line="360" w:lineRule="auto"/>
        <w:ind w:right="482" w:firstLine="480" w:firstLineChars="200"/>
        <w:rPr>
          <w:rFonts w:asciiTheme="minorEastAsia" w:hAnsiTheme="minorEastAsia"/>
          <w:sz w:val="24"/>
          <w:szCs w:val="24"/>
        </w:rPr>
      </w:pPr>
      <w:r>
        <w:rPr>
          <w:rFonts w:hint="eastAsia" w:asciiTheme="minorEastAsia" w:hAnsiTheme="minorEastAsia"/>
          <w:sz w:val="24"/>
          <w:szCs w:val="24"/>
        </w:rPr>
        <w:t>2.2.系统模块：添加管理员、权限设置。</w:t>
      </w:r>
    </w:p>
    <w:p>
      <w:pPr>
        <w:spacing w:line="360" w:lineRule="auto"/>
        <w:ind w:right="482" w:firstLine="480" w:firstLineChars="200"/>
        <w:rPr>
          <w:rFonts w:asciiTheme="minorEastAsia" w:hAnsiTheme="minorEastAsia"/>
          <w:sz w:val="24"/>
          <w:szCs w:val="24"/>
        </w:rPr>
      </w:pPr>
      <w:r>
        <w:rPr>
          <w:rFonts w:hint="eastAsia" w:asciiTheme="minorEastAsia" w:hAnsiTheme="minorEastAsia"/>
          <w:sz w:val="24"/>
          <w:szCs w:val="24"/>
        </w:rPr>
        <w:t>2.3.咨询管理模块：发布公告、发布新闻。</w:t>
      </w:r>
    </w:p>
    <w:p>
      <w:pPr>
        <w:spacing w:line="360" w:lineRule="auto"/>
        <w:ind w:right="482" w:firstLine="480" w:firstLineChars="200"/>
        <w:rPr>
          <w:rFonts w:asciiTheme="minorEastAsia" w:hAnsiTheme="minorEastAsia"/>
          <w:sz w:val="24"/>
          <w:szCs w:val="24"/>
        </w:rPr>
      </w:pPr>
      <w:r>
        <w:rPr>
          <w:rFonts w:hint="eastAsia" w:asciiTheme="minorEastAsia" w:hAnsiTheme="minorEastAsia"/>
          <w:sz w:val="24"/>
          <w:szCs w:val="24"/>
        </w:rPr>
        <w:t>2.4.学员成果管理模块：学员成果展示、学院成果汇总、学院荣誉获奖信息上报。</w:t>
      </w:r>
    </w:p>
    <w:p>
      <w:pPr>
        <w:spacing w:line="360" w:lineRule="auto"/>
        <w:ind w:right="482" w:firstLine="480" w:firstLineChars="200"/>
        <w:rPr>
          <w:rFonts w:asciiTheme="minorEastAsia" w:hAnsiTheme="minorEastAsia"/>
          <w:sz w:val="24"/>
          <w:szCs w:val="24"/>
        </w:rPr>
      </w:pPr>
      <w:r>
        <w:rPr>
          <w:rFonts w:hint="eastAsia" w:asciiTheme="minorEastAsia" w:hAnsiTheme="minorEastAsia"/>
          <w:sz w:val="24"/>
          <w:szCs w:val="24"/>
        </w:rPr>
        <w:t>2.5.学员管理模块：学员信息展示、学员生日祝福短信、学员重要通知、学员联系管理。</w:t>
      </w:r>
    </w:p>
    <w:p>
      <w:pPr>
        <w:spacing w:line="360" w:lineRule="auto"/>
        <w:ind w:right="482" w:firstLine="480" w:firstLineChars="200"/>
        <w:rPr>
          <w:rFonts w:asciiTheme="minorEastAsia" w:hAnsiTheme="minorEastAsia"/>
          <w:sz w:val="24"/>
          <w:szCs w:val="24"/>
        </w:rPr>
      </w:pPr>
      <w:r>
        <w:rPr>
          <w:rFonts w:hint="eastAsia" w:asciiTheme="minorEastAsia" w:hAnsiTheme="minorEastAsia"/>
          <w:sz w:val="24"/>
          <w:szCs w:val="24"/>
        </w:rPr>
        <w:t>2.6.科研教学活动管理模块：科研项目申报审核、科研项目申报管理、征文公告管理、赛事管理、赛事报名管理。</w:t>
      </w:r>
    </w:p>
    <w:p>
      <w:pPr>
        <w:spacing w:line="360" w:lineRule="auto"/>
        <w:ind w:right="482" w:firstLine="480" w:firstLineChars="200"/>
        <w:rPr>
          <w:rFonts w:asciiTheme="minorEastAsia" w:hAnsiTheme="minorEastAsia"/>
          <w:sz w:val="24"/>
          <w:szCs w:val="24"/>
        </w:rPr>
      </w:pPr>
      <w:r>
        <w:rPr>
          <w:rFonts w:hint="eastAsia" w:asciiTheme="minorEastAsia" w:hAnsiTheme="minorEastAsia"/>
          <w:sz w:val="24"/>
          <w:szCs w:val="24"/>
        </w:rPr>
        <w:t>2.7.课程管理模块：课程表管理、报名管理、签到管理、课程资料管理、课程管理、班级管理。</w:t>
      </w:r>
    </w:p>
    <w:p>
      <w:pPr>
        <w:spacing w:line="360" w:lineRule="auto"/>
        <w:ind w:right="482" w:firstLine="480" w:firstLineChars="200"/>
        <w:rPr>
          <w:rFonts w:asciiTheme="minorEastAsia" w:hAnsiTheme="minorEastAsia"/>
          <w:sz w:val="24"/>
          <w:szCs w:val="24"/>
        </w:rPr>
      </w:pPr>
    </w:p>
    <w:p>
      <w:pPr>
        <w:spacing w:line="360" w:lineRule="auto"/>
        <w:ind w:right="480"/>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817"/>
    <w:rsid w:val="000911D5"/>
    <w:rsid w:val="00094254"/>
    <w:rsid w:val="000D641B"/>
    <w:rsid w:val="00150D29"/>
    <w:rsid w:val="00275A14"/>
    <w:rsid w:val="002F408E"/>
    <w:rsid w:val="00356C69"/>
    <w:rsid w:val="00380149"/>
    <w:rsid w:val="003808CC"/>
    <w:rsid w:val="003930E6"/>
    <w:rsid w:val="003D2EDB"/>
    <w:rsid w:val="004833A1"/>
    <w:rsid w:val="004C7033"/>
    <w:rsid w:val="00535656"/>
    <w:rsid w:val="005B38B5"/>
    <w:rsid w:val="005D1CFA"/>
    <w:rsid w:val="006763D3"/>
    <w:rsid w:val="0068641A"/>
    <w:rsid w:val="006B257A"/>
    <w:rsid w:val="006D283E"/>
    <w:rsid w:val="006E0B7F"/>
    <w:rsid w:val="007C2D09"/>
    <w:rsid w:val="007D08A4"/>
    <w:rsid w:val="007D2B96"/>
    <w:rsid w:val="00934E15"/>
    <w:rsid w:val="00953910"/>
    <w:rsid w:val="009B652A"/>
    <w:rsid w:val="009C6FBF"/>
    <w:rsid w:val="009C7663"/>
    <w:rsid w:val="009E667D"/>
    <w:rsid w:val="00A26DBA"/>
    <w:rsid w:val="00A42881"/>
    <w:rsid w:val="00A471DC"/>
    <w:rsid w:val="00A72BF2"/>
    <w:rsid w:val="00A73D7D"/>
    <w:rsid w:val="00AC4CA5"/>
    <w:rsid w:val="00AD386A"/>
    <w:rsid w:val="00AE6899"/>
    <w:rsid w:val="00B23C69"/>
    <w:rsid w:val="00C4511E"/>
    <w:rsid w:val="00D0085D"/>
    <w:rsid w:val="00D07C8B"/>
    <w:rsid w:val="00D130A5"/>
    <w:rsid w:val="00DB208C"/>
    <w:rsid w:val="00DB6247"/>
    <w:rsid w:val="00DE72E7"/>
    <w:rsid w:val="00E03745"/>
    <w:rsid w:val="00EA3A9B"/>
    <w:rsid w:val="00EB6817"/>
    <w:rsid w:val="00EC5A4E"/>
    <w:rsid w:val="00F0557E"/>
    <w:rsid w:val="00F25ACE"/>
    <w:rsid w:val="00FC14EC"/>
    <w:rsid w:val="00FD6C18"/>
    <w:rsid w:val="3C392401"/>
    <w:rsid w:val="404C0052"/>
    <w:rsid w:val="52385285"/>
    <w:rsid w:val="533C65DD"/>
    <w:rsid w:val="594E2E2F"/>
    <w:rsid w:val="63847515"/>
    <w:rsid w:val="77FB2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unhideWhenUsed/>
    <w:qFormat/>
    <w:uiPriority w:val="9"/>
    <w:pPr>
      <w:keepNext/>
      <w:keepLines/>
      <w:spacing w:before="120" w:after="120" w:line="415"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Plain Text"/>
    <w:basedOn w:val="1"/>
    <w:link w:val="11"/>
    <w:qFormat/>
    <w:uiPriority w:val="0"/>
    <w:rPr>
      <w:rFonts w:ascii="宋体" w:hAnsi="宋体" w:eastAsia="宋体" w:cs="Times New Roman"/>
      <w:color w:val="000000"/>
      <w:kern w:val="1"/>
      <w:szCs w:val="20"/>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uiPriority w:val="99"/>
    <w:rPr>
      <w:color w:val="0000FF" w:themeColor="hyperlink"/>
      <w:u w:val="single"/>
      <w14:textFill>
        <w14:solidFill>
          <w14:schemeClr w14:val="hlink"/>
        </w14:solidFill>
      </w14:textFill>
    </w:rPr>
  </w:style>
  <w:style w:type="character" w:customStyle="1" w:styleId="10">
    <w:name w:val="纯文本 字符"/>
    <w:basedOn w:val="8"/>
    <w:semiHidden/>
    <w:uiPriority w:val="99"/>
    <w:rPr>
      <w:rFonts w:hAnsi="Courier New" w:cs="Courier New" w:asciiTheme="minorEastAsia"/>
    </w:rPr>
  </w:style>
  <w:style w:type="character" w:customStyle="1" w:styleId="11">
    <w:name w:val="纯文本 字符1"/>
    <w:link w:val="4"/>
    <w:qFormat/>
    <w:locked/>
    <w:uiPriority w:val="0"/>
    <w:rPr>
      <w:rFonts w:ascii="宋体" w:hAnsi="宋体" w:eastAsia="宋体" w:cs="Times New Roman"/>
      <w:color w:val="000000"/>
      <w:kern w:val="1"/>
      <w:szCs w:val="20"/>
    </w:rPr>
  </w:style>
  <w:style w:type="character" w:customStyle="1" w:styleId="12">
    <w:name w:val="Unresolved Mention"/>
    <w:basedOn w:val="8"/>
    <w:semiHidden/>
    <w:unhideWhenUsed/>
    <w:qFormat/>
    <w:uiPriority w:val="99"/>
    <w:rPr>
      <w:color w:val="605E5C"/>
      <w:shd w:val="clear" w:color="auto" w:fill="E1DFDD"/>
    </w:rPr>
  </w:style>
  <w:style w:type="character" w:customStyle="1" w:styleId="13">
    <w:name w:val="标题 1 字符"/>
    <w:basedOn w:val="8"/>
    <w:link w:val="2"/>
    <w:qFormat/>
    <w:uiPriority w:val="9"/>
    <w:rPr>
      <w:b/>
      <w:bCs/>
      <w:kern w:val="44"/>
      <w:sz w:val="44"/>
      <w:szCs w:val="44"/>
    </w:rPr>
  </w:style>
  <w:style w:type="character" w:customStyle="1" w:styleId="14">
    <w:name w:val="标题 2 字符"/>
    <w:basedOn w:val="8"/>
    <w:link w:val="3"/>
    <w:qFormat/>
    <w:uiPriority w:val="9"/>
    <w:rPr>
      <w:rFonts w:asciiTheme="majorHAnsi" w:hAnsiTheme="majorHAnsi" w:eastAsiaTheme="majorEastAsia" w:cstheme="majorBidi"/>
      <w:b/>
      <w:bCs/>
      <w:sz w:val="32"/>
      <w:szCs w:val="32"/>
    </w:rPr>
  </w:style>
  <w:style w:type="character" w:customStyle="1" w:styleId="15">
    <w:name w:val="页眉 字符"/>
    <w:basedOn w:val="8"/>
    <w:link w:val="6"/>
    <w:qFormat/>
    <w:uiPriority w:val="99"/>
    <w:rPr>
      <w:sz w:val="18"/>
      <w:szCs w:val="18"/>
    </w:rPr>
  </w:style>
  <w:style w:type="character" w:customStyle="1" w:styleId="16">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237749-5770-4369-9463-8D11A9993EFF}">
  <ds:schemaRefs/>
</ds:datastoreItem>
</file>

<file path=docProps/app.xml><?xml version="1.0" encoding="utf-8"?>
<Properties xmlns="http://schemas.openxmlformats.org/officeDocument/2006/extended-properties" xmlns:vt="http://schemas.openxmlformats.org/officeDocument/2006/docPropsVTypes">
  <Template>Normal</Template>
  <Pages>5</Pages>
  <Words>419</Words>
  <Characters>2390</Characters>
  <Lines>19</Lines>
  <Paragraphs>5</Paragraphs>
  <TotalTime>5</TotalTime>
  <ScaleCrop>false</ScaleCrop>
  <LinksUpToDate>false</LinksUpToDate>
  <CharactersWithSpaces>2804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2020-06-08T08:53:00Z</dcterms:created>
  <dc:creator>306317771@qq.com</dc:creator>
  <cp:lastModifiedBy>Huie Lee</cp:lastModifiedBy>
  <dcterms:modified xsi:type="dcterms:W3CDTF">2020-06-15T01:02:42Z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